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line="23" w:lineRule="atLeast"/>
        <w:jc w:val="center"/>
        <w:rPr>
          <w:rFonts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西瓜皮是否可以入药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西瓜皮是否可以入药？相信这是大家最想知道，最想了解的问题。下面医学教育网小编为大家搜集整理了相关信息，希望对大家了解西瓜皮是否可以入药能有所帮助。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西瓜皮是否可以入药？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果皮含蜡质及糖，果汁含瓜氨酸、甜菜碱、苹果酸、果糖、葡萄糖、蔗糖、番茄红素、维生素C等。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性味归经：性凉，味甘。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药理作用：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西瓜皮中所含的瓜氨酸能增进大鼠肝中的尿素形成，从而具有利尿作用，可以用以治疗</w:t>
      </w:r>
      <w:r>
        <w:rPr>
          <w:rFonts w:hint="eastAsia" w:ascii="宋体" w:hAnsi="宋体" w:eastAsia="宋体" w:cs="宋体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</w:rPr>
        <w:instrText xml:space="preserve"> HYPERLINK "http://www.med66.com/jibing/shenyan/" \o "肾炎" \t "http://www.med66.com/zhongyaoshi/_blank" </w:instrText>
      </w:r>
      <w:r>
        <w:rPr>
          <w:rFonts w:hint="eastAsia" w:ascii="宋体" w:hAnsi="宋体" w:eastAsia="宋体" w:cs="宋体"/>
          <w:sz w:val="28"/>
          <w:szCs w:val="28"/>
        </w:rPr>
        <w:fldChar w:fldCharType="separate"/>
      </w:r>
      <w:r>
        <w:rPr>
          <w:rStyle w:val="9"/>
          <w:rFonts w:hint="eastAsia" w:ascii="宋体" w:hAnsi="宋体" w:eastAsia="宋体" w:cs="宋体"/>
          <w:sz w:val="28"/>
          <w:szCs w:val="28"/>
        </w:rPr>
        <w:t>肾炎</w:t>
      </w:r>
      <w:r>
        <w:rPr>
          <w:rFonts w:hint="eastAsia" w:ascii="宋体" w:hAnsi="宋体" w:eastAsia="宋体" w:cs="宋体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color w:val="000000"/>
          <w:sz w:val="28"/>
          <w:szCs w:val="28"/>
        </w:rPr>
        <w:t>水肿、肝病黄疸及</w:t>
      </w:r>
      <w:r>
        <w:rPr>
          <w:rFonts w:hint="eastAsia" w:ascii="宋体" w:hAnsi="宋体" w:eastAsia="宋体" w:cs="宋体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</w:rPr>
        <w:instrText xml:space="preserve"> HYPERLINK "http://www.med66.com/jibing/tangniaobing/" \o "糖尿病" \t "http://www.med66.com/zhongyaoshi/_blank" </w:instrText>
      </w:r>
      <w:r>
        <w:rPr>
          <w:rFonts w:hint="eastAsia" w:ascii="宋体" w:hAnsi="宋体" w:eastAsia="宋体" w:cs="宋体"/>
          <w:sz w:val="28"/>
          <w:szCs w:val="28"/>
        </w:rPr>
        <w:fldChar w:fldCharType="separate"/>
      </w:r>
      <w:r>
        <w:rPr>
          <w:rStyle w:val="9"/>
          <w:rFonts w:hint="eastAsia" w:ascii="宋体" w:hAnsi="宋体" w:eastAsia="宋体" w:cs="宋体"/>
          <w:sz w:val="28"/>
          <w:szCs w:val="28"/>
        </w:rPr>
        <w:t>糖尿病</w:t>
      </w:r>
      <w:r>
        <w:rPr>
          <w:rFonts w:hint="eastAsia" w:ascii="宋体" w:hAnsi="宋体" w:eastAsia="宋体" w:cs="宋体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。此外还有解热、促进伤口愈合以及促进人体皮肤新陈代谢的功效。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配伍应用：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心火亢盛，烦躁不安，口舌生疮：配炒桅子、黄连。 暑热尿赤：配金银花、滑石。 黄疸，水肿：配白茅根、茵陈。 暑热耗气伤津：配西洋参、石斛。医学教育网|搜集整理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功能主治：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清暑解热，止渴，利小便。用于暑热烦渴、小便短少、水肿、口舌生疮。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以上是小编整理的“西瓜皮是否可以入药”，希望对大家有所帮助！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  <w:bookmarkStart w:id="0" w:name="_GoBack"/>
      <w:bookmarkEnd w:id="0"/>
    </w:p>
    <w:p>
      <w:pPr>
        <w:pStyle w:val="5"/>
        <w:shd w:val="clear" w:color="auto" w:fill="FFFFFF"/>
        <w:spacing w:beforeAutospacing="0" w:afterAutospacing="0" w:line="420" w:lineRule="atLeast"/>
        <w:ind w:firstLine="480"/>
        <w:jc w:val="center"/>
        <w:rPr>
          <w:rFonts w:hint="eastAsia" w:ascii="微软雅黑" w:hAnsi="微软雅黑" w:eastAsia="微软雅黑"/>
          <w:color w:val="333333"/>
          <w:sz w:val="36"/>
          <w:szCs w:val="36"/>
        </w:rPr>
      </w:pPr>
      <w:r>
        <w:rPr>
          <w:rFonts w:hint="eastAsia" w:ascii="微软雅黑" w:hAnsi="微软雅黑" w:eastAsia="微软雅黑"/>
          <w:b/>
          <w:bCs/>
          <w:color w:val="FFFFFF" w:themeColor="background1"/>
          <w:spacing w:val="90"/>
          <w:sz w:val="36"/>
          <w:szCs w:val="36"/>
          <w:shd w:val="clear" w:color="auto" w:fill="3C30B3"/>
          <w14:textFill>
            <w14:solidFill>
              <w14:schemeClr w14:val="bg1"/>
            </w14:solidFill>
          </w14:textFill>
        </w:rPr>
        <w:t>加入我们开启学习之路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400050</wp:posOffset>
            </wp:positionH>
            <wp:positionV relativeFrom="paragraph">
              <wp:posOffset>62865</wp:posOffset>
            </wp:positionV>
            <wp:extent cx="4724400" cy="1762125"/>
            <wp:effectExtent l="0" t="0" r="0" b="9525"/>
            <wp:wrapTight wrapText="bothSides">
              <wp:wrapPolygon>
                <wp:start x="0" y="0"/>
                <wp:lineTo x="0" y="21483"/>
                <wp:lineTo x="21513" y="21483"/>
                <wp:lineTo x="21513" y="0"/>
                <wp:lineTo x="0" y="0"/>
              </wp:wrapPolygon>
            </wp:wrapTight>
            <wp:docPr id="1" name="图片 1" descr="中药学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中药学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sz w:val="28"/>
          <w:szCs w:val="28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single" w:color="auto" w:sz="4" w:space="1"/>
      </w:pBdr>
      <w:jc w:val="left"/>
    </w:pPr>
    <w:r>
      <w:drawing>
        <wp:inline distT="0" distB="0" distL="0" distR="0">
          <wp:extent cx="1526540" cy="393065"/>
          <wp:effectExtent l="0" t="0" r="16510" b="6985"/>
          <wp:docPr id="2" name="图片 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4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26540" cy="39319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</w:t>
    </w:r>
    <w:r>
      <w:rPr>
        <w:rFonts w:hint="eastAsia"/>
        <w:lang w:val="en-US" w:eastAsia="zh-CN"/>
      </w:rPr>
      <w:t>中药学职称</w:t>
    </w:r>
    <w:r>
      <w:rPr>
        <w:rFonts w:hint="eastAsia" w:ascii="Calibri" w:hAnsi="Calibri" w:eastAsia="宋体" w:cs="Times New Roman"/>
      </w:rPr>
      <w:t>考试交流群</w:t>
    </w:r>
    <w:r>
      <w:rPr>
        <w:rFonts w:hint="eastAsia" w:ascii="宋体" w:hAnsi="Calibri" w:eastAsia="宋体" w:cs="宋体"/>
      </w:rPr>
      <w:t>：</w:t>
    </w:r>
    <w:r>
      <w:rPr>
        <w:rFonts w:hint="eastAsia" w:ascii="Calibri" w:hAnsi="Calibri" w:eastAsia="宋体" w:cs="Times New Roman"/>
      </w:rPr>
      <w:t>485332042</w:t>
    </w:r>
    <w:r>
      <w:rPr>
        <w:rFonts w:ascii="Calibri" w:hAnsi="Calibri" w:eastAsia="宋体" w:cs="Times New Roman"/>
      </w:rPr>
      <w:t xml:space="preserve"> </w:t>
    </w:r>
    <w:r>
      <w:rPr>
        <w:rFonts w:hint="eastAsia" w:ascii="宋体" w:hAnsi="Calibri" w:eastAsia="宋体" w:cs="宋体"/>
      </w:rPr>
      <w:t>微信公众号：</w:t>
    </w:r>
    <w:r>
      <w:rPr>
        <w:rFonts w:hint="eastAsia" w:ascii="Calibri" w:hAnsi="Calibri" w:eastAsia="宋体" w:cs="Times New Roman"/>
      </w:rPr>
      <w:t>med66_weisheng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216A617D"/>
    <w:rsid w:val="6BE779D7"/>
    <w:rsid w:val="6D157D51"/>
    <w:rsid w:val="781F46C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Ascii" w:hAnsiTheme="minorAscii" w:eastAsiaTheme="minorEastAsia" w:cstheme="minorBidi"/>
      <w:kern w:val="2"/>
      <w:sz w:val="28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b/>
      <w:kern w:val="44"/>
      <w:sz w:val="21"/>
      <w:szCs w:val="21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FollowedHyperlink"/>
    <w:basedOn w:val="6"/>
    <w:qFormat/>
    <w:uiPriority w:val="0"/>
    <w:rPr>
      <w:color w:val="333333"/>
      <w:u w:val="none"/>
    </w:rPr>
  </w:style>
  <w:style w:type="character" w:styleId="8">
    <w:name w:val="Emphasis"/>
    <w:basedOn w:val="6"/>
    <w:qFormat/>
    <w:uiPriority w:val="0"/>
  </w:style>
  <w:style w:type="character" w:styleId="9">
    <w:name w:val="Hyperlink"/>
    <w:basedOn w:val="6"/>
    <w:uiPriority w:val="0"/>
    <w:rPr>
      <w:color w:val="333333"/>
      <w:u w:val="none"/>
    </w:rPr>
  </w:style>
  <w:style w:type="character" w:styleId="10">
    <w:name w:val="HTML Cite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Office_11.1.0.7693_F1E327BC-269C-435d-A152-05C5408002CA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意随程意</dc:creator>
  <cp:lastModifiedBy>dell</cp:lastModifiedBy>
  <dcterms:modified xsi:type="dcterms:W3CDTF">2019-08-13T06:29:01Z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2052-11.1.0.7693</vt:lpwstr>
  </property>
</Properties>
</file>